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7219" w14:textId="03AFB9FC" w:rsidR="00E87F66" w:rsidRPr="002700C0" w:rsidRDefault="00E87F66" w:rsidP="0093606F">
      <w:pPr>
        <w:pStyle w:val="Textoindependiente"/>
        <w:spacing w:before="0" w:line="360" w:lineRule="auto"/>
        <w:ind w:left="100"/>
        <w:rPr>
          <w:rFonts w:asciiTheme="majorHAnsi" w:hAnsiTheme="majorHAnsi"/>
          <w:sz w:val="20"/>
        </w:rPr>
      </w:pPr>
    </w:p>
    <w:p w14:paraId="17DE1941" w14:textId="77777777" w:rsidR="00E87F66" w:rsidRPr="002700C0" w:rsidRDefault="00E87F66" w:rsidP="0093606F">
      <w:pPr>
        <w:pStyle w:val="Textoindependiente"/>
        <w:spacing w:before="0" w:line="360" w:lineRule="auto"/>
        <w:ind w:left="0"/>
        <w:rPr>
          <w:rFonts w:asciiTheme="majorHAnsi" w:hAnsiTheme="majorHAnsi"/>
          <w:sz w:val="20"/>
        </w:rPr>
      </w:pPr>
    </w:p>
    <w:p w14:paraId="3E7B82F1" w14:textId="7A83FF96" w:rsidR="00E87F66" w:rsidRPr="002700C0" w:rsidRDefault="0002501D" w:rsidP="0093606F">
      <w:pPr>
        <w:pStyle w:val="Textoindependiente"/>
        <w:spacing w:before="4" w:line="360" w:lineRule="auto"/>
        <w:ind w:left="0"/>
        <w:rPr>
          <w:rFonts w:asciiTheme="majorHAnsi" w:hAnsiTheme="majorHAnsi"/>
          <w:sz w:val="20"/>
        </w:rPr>
      </w:pPr>
      <w:r w:rsidRPr="002700C0">
        <w:rPr>
          <w:rFonts w:asciiTheme="majorHAnsi" w:hAnsiTheme="majorHAnsi"/>
          <w:noProof/>
          <w:sz w:val="20"/>
        </w:rPr>
        <w:drawing>
          <wp:inline distT="0" distB="0" distL="0" distR="0" wp14:anchorId="34F10CC3" wp14:editId="14B37C25">
            <wp:extent cx="2106146" cy="838200"/>
            <wp:effectExtent l="0" t="0" r="2540" b="0"/>
            <wp:docPr id="1" name="image1.jpeg" descr="Interfaz de usuario gráfica, 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Interfaz de usuario gráfica, Texto&#10;&#10;Descripción generada automáticamente con confianza media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40" cy="85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B3776" w14:textId="4638534E" w:rsidR="00E87F66" w:rsidRPr="00394675" w:rsidRDefault="001D3C6B" w:rsidP="0093606F">
      <w:pPr>
        <w:pStyle w:val="Ttulo1"/>
        <w:spacing w:line="360" w:lineRule="auto"/>
      </w:pPr>
      <w:r w:rsidRPr="00394675">
        <w:t>REQUISITOS PARA LA SOLICITUD DE RECONOCIMIENTO</w:t>
      </w:r>
      <w:r w:rsidR="000C6B11" w:rsidRPr="00394675">
        <w:t xml:space="preserve"> </w:t>
      </w:r>
      <w:r w:rsidR="0002501D" w:rsidRPr="00394675">
        <w:t>ACADÉMICO</w:t>
      </w:r>
      <w:r w:rsidR="0002501D">
        <w:t>.</w:t>
      </w:r>
      <w:r w:rsidR="0002501D" w:rsidRPr="00394675">
        <w:t xml:space="preserve"> C</w:t>
      </w:r>
      <w:r w:rsidR="0002501D">
        <w:t>onvocatoria</w:t>
      </w:r>
      <w:r w:rsidRPr="00394675">
        <w:t xml:space="preserve"> </w:t>
      </w:r>
      <w:r w:rsidR="00E31876" w:rsidRPr="00394675">
        <w:t>202</w:t>
      </w:r>
      <w:r w:rsidR="0002501D">
        <w:t>3</w:t>
      </w:r>
      <w:r w:rsidR="00E31876" w:rsidRPr="00394675">
        <w:t>-202</w:t>
      </w:r>
      <w:r w:rsidR="0002501D">
        <w:t>4</w:t>
      </w:r>
      <w:r w:rsidR="0093606F">
        <w:t>.</w:t>
      </w:r>
      <w:r w:rsidR="0002501D" w:rsidRPr="0002501D">
        <w:rPr>
          <w:highlight w:val="yellow"/>
        </w:rPr>
        <w:t>BORRADOR</w:t>
      </w:r>
      <w:r w:rsidR="0093606F">
        <w:t xml:space="preserve"> </w:t>
      </w:r>
    </w:p>
    <w:p w14:paraId="7D6B7085" w14:textId="7D5393A9" w:rsidR="00E87F66" w:rsidRPr="00394675" w:rsidRDefault="00E87F66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</w:p>
    <w:p w14:paraId="5D6945F3" w14:textId="119CE35E" w:rsidR="00394675" w:rsidRDefault="00394675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 reconocimiento académico es sólo un aspecto del proceso de movilidad. Para tener una visión de conjunto, se debe consultar la web del Vicerrectorado de Movilidad, Internacionalización y Proyección internacional de la ULPGC. </w:t>
      </w:r>
      <w:r w:rsidR="00841BD8">
        <w:rPr>
          <w:rFonts w:asciiTheme="majorHAnsi" w:hAnsiTheme="majorHAnsi"/>
          <w:sz w:val="24"/>
        </w:rPr>
        <w:t xml:space="preserve">También están los correos de consulta </w:t>
      </w:r>
      <w:hyperlink r:id="rId8" w:history="1">
        <w:r w:rsidR="00841BD8" w:rsidRPr="008A30A9">
          <w:rPr>
            <w:rStyle w:val="Hipervnculo"/>
            <w:rFonts w:asciiTheme="majorHAnsi" w:hAnsiTheme="majorHAnsi"/>
            <w:sz w:val="24"/>
          </w:rPr>
          <w:t>erasmus@ulpgc.es</w:t>
        </w:r>
      </w:hyperlink>
      <w:r w:rsidR="00841BD8">
        <w:rPr>
          <w:rFonts w:asciiTheme="majorHAnsi" w:hAnsiTheme="majorHAnsi"/>
          <w:sz w:val="24"/>
        </w:rPr>
        <w:t xml:space="preserve"> y </w:t>
      </w:r>
      <w:hyperlink r:id="rId9" w:history="1">
        <w:r w:rsidR="00841BD8" w:rsidRPr="008A30A9">
          <w:rPr>
            <w:rStyle w:val="Hipervnculo"/>
            <w:rFonts w:asciiTheme="majorHAnsi" w:hAnsiTheme="majorHAnsi"/>
            <w:sz w:val="24"/>
          </w:rPr>
          <w:t>sicue@ulpgc.es</w:t>
        </w:r>
      </w:hyperlink>
      <w:r w:rsidR="00841BD8">
        <w:rPr>
          <w:rFonts w:asciiTheme="majorHAnsi" w:hAnsiTheme="majorHAnsi"/>
          <w:sz w:val="24"/>
        </w:rPr>
        <w:t xml:space="preserve"> para la gestión administrativa: becas, certificados, idiomas, etc.</w:t>
      </w:r>
      <w:r w:rsidR="0093606F">
        <w:rPr>
          <w:rFonts w:asciiTheme="majorHAnsi" w:hAnsiTheme="majorHAnsi"/>
          <w:sz w:val="24"/>
        </w:rPr>
        <w:t xml:space="preserve"> Así como el email </w:t>
      </w:r>
      <w:hyperlink r:id="rId10" w:history="1">
        <w:r w:rsidR="0093606F" w:rsidRPr="008B5FD3">
          <w:rPr>
            <w:rStyle w:val="Hipervnculo"/>
            <w:rFonts w:asciiTheme="majorHAnsi" w:hAnsiTheme="majorHAnsi"/>
            <w:sz w:val="24"/>
          </w:rPr>
          <w:t>rrii@ulpgc.es</w:t>
        </w:r>
      </w:hyperlink>
      <w:r w:rsidR="0093606F">
        <w:rPr>
          <w:rFonts w:asciiTheme="majorHAnsi" w:hAnsiTheme="majorHAnsi"/>
          <w:sz w:val="24"/>
        </w:rPr>
        <w:t xml:space="preserve">. </w:t>
      </w:r>
    </w:p>
    <w:p w14:paraId="52689E0B" w14:textId="51DB1960" w:rsidR="00D12171" w:rsidRDefault="00D12171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 xml:space="preserve">El proceso de movilidad de la ULPGC está sujeto a lo establecido en el </w:t>
      </w:r>
      <w:hyperlink r:id="rId11" w:history="1">
        <w:r w:rsidRPr="00841BD8">
          <w:rPr>
            <w:rFonts w:asciiTheme="majorHAnsi" w:hAnsiTheme="majorHAnsi"/>
            <w:color w:val="4F81BD" w:themeColor="accent1"/>
            <w:sz w:val="24"/>
          </w:rPr>
          <w:t>REGLAMENTO DE MOVILIDAD DE ESTUDIOS CON RECONOCIMIENTO ACADÉMICO DE LA UNIVERSIDAD DE LAS PALMAS DE GRAN CANARIA</w:t>
        </w:r>
      </w:hyperlink>
      <w:r w:rsidRPr="00394675">
        <w:rPr>
          <w:rFonts w:asciiTheme="majorHAnsi" w:hAnsiTheme="majorHAnsi"/>
          <w:sz w:val="24"/>
        </w:rPr>
        <w:t xml:space="preserve">. El estudiantado debe consultarlo. </w:t>
      </w:r>
    </w:p>
    <w:p w14:paraId="053A6760" w14:textId="7997091B" w:rsidR="00394675" w:rsidRPr="00394675" w:rsidRDefault="00841BD8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Los pasos a dar una vez asignada Universidad de destino son:</w:t>
      </w:r>
    </w:p>
    <w:p w14:paraId="40F8860F" w14:textId="1283E30D" w:rsidR="00D12171" w:rsidRPr="00D12171" w:rsidRDefault="00D12171" w:rsidP="0093606F">
      <w:pPr>
        <w:pStyle w:val="Textoindependiente"/>
        <w:spacing w:before="8" w:line="360" w:lineRule="auto"/>
        <w:ind w:left="0"/>
        <w:rPr>
          <w:rFonts w:asciiTheme="majorHAnsi" w:hAnsiTheme="majorHAnsi"/>
          <w:bCs/>
          <w:iCs/>
        </w:rPr>
      </w:pPr>
    </w:p>
    <w:p w14:paraId="62FB529D" w14:textId="398BCC09" w:rsidR="00514919" w:rsidRPr="000C6B11" w:rsidRDefault="00514919" w:rsidP="0093606F">
      <w:pPr>
        <w:pStyle w:val="Ttulo1"/>
        <w:spacing w:line="360" w:lineRule="auto"/>
        <w:jc w:val="both"/>
      </w:pPr>
      <w:r w:rsidRPr="000C6B11">
        <w:t>1. Preparación de la propuesta RAM (Reconocimiento Académico de Movilidad).</w:t>
      </w:r>
    </w:p>
    <w:p w14:paraId="431F56AD" w14:textId="77777777" w:rsidR="002700C0" w:rsidRPr="002700C0" w:rsidRDefault="002700C0" w:rsidP="0093606F">
      <w:pPr>
        <w:spacing w:line="360" w:lineRule="auto"/>
        <w:jc w:val="both"/>
        <w:rPr>
          <w:rFonts w:asciiTheme="majorHAnsi" w:hAnsiTheme="majorHAnsi"/>
        </w:rPr>
      </w:pPr>
    </w:p>
    <w:p w14:paraId="1DC8A989" w14:textId="24C699EE" w:rsidR="00E87F66" w:rsidRPr="002700C0" w:rsidRDefault="00841BD8" w:rsidP="0093606F">
      <w:pPr>
        <w:pStyle w:val="Prrafodelista"/>
        <w:numPr>
          <w:ilvl w:val="0"/>
          <w:numId w:val="2"/>
        </w:numPr>
        <w:tabs>
          <w:tab w:val="left" w:pos="785"/>
        </w:tabs>
        <w:spacing w:before="0" w:line="360" w:lineRule="auto"/>
        <w:ind w:right="1291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</w:t>
      </w:r>
      <w:r w:rsidR="001D3C6B" w:rsidRPr="002700C0">
        <w:rPr>
          <w:rFonts w:asciiTheme="majorHAnsi" w:hAnsiTheme="majorHAnsi"/>
          <w:sz w:val="24"/>
        </w:rPr>
        <w:t xml:space="preserve">ada estudiante consultará el </w:t>
      </w:r>
      <w:r w:rsidR="001D3C6B" w:rsidRPr="002700C0">
        <w:rPr>
          <w:rFonts w:asciiTheme="majorHAnsi" w:hAnsiTheme="majorHAnsi"/>
          <w:b/>
          <w:sz w:val="24"/>
        </w:rPr>
        <w:t>nivel o</w:t>
      </w:r>
      <w:r w:rsidR="001D3C6B" w:rsidRPr="002700C0">
        <w:rPr>
          <w:rFonts w:asciiTheme="majorHAnsi" w:hAnsiTheme="majorHAnsi"/>
          <w:b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b/>
          <w:sz w:val="24"/>
        </w:rPr>
        <w:t xml:space="preserve">requisitos de idiomas </w:t>
      </w:r>
      <w:r w:rsidR="001D3C6B" w:rsidRPr="002700C0">
        <w:rPr>
          <w:rFonts w:asciiTheme="majorHAnsi" w:hAnsiTheme="majorHAnsi"/>
          <w:sz w:val="24"/>
        </w:rPr>
        <w:t>exigido o recomendado tanto en la tabla de universidades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ofertadas de la página movilidad de la ULPGC, como en el sitio web de la Universidad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elegida. Si la Universidad solicita que se presente un certificado de nivel, el estudiante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pacing w:val="-1"/>
          <w:sz w:val="24"/>
        </w:rPr>
        <w:t xml:space="preserve">deberá aportarlo a la hora </w:t>
      </w:r>
      <w:r w:rsidR="001D3C6B" w:rsidRPr="002700C0">
        <w:rPr>
          <w:rFonts w:asciiTheme="majorHAnsi" w:hAnsiTheme="majorHAnsi"/>
          <w:sz w:val="24"/>
        </w:rPr>
        <w:t>de</w:t>
      </w:r>
      <w:r w:rsidR="001D3C6B" w:rsidRPr="002700C0">
        <w:rPr>
          <w:rFonts w:asciiTheme="majorHAnsi" w:hAnsiTheme="majorHAnsi"/>
          <w:spacing w:val="-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formalizar su</w:t>
      </w:r>
      <w:r w:rsidR="001D3C6B" w:rsidRPr="002700C0">
        <w:rPr>
          <w:rFonts w:asciiTheme="majorHAnsi" w:hAnsiTheme="majorHAnsi"/>
          <w:spacing w:val="-20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solicitud.</w:t>
      </w:r>
      <w:r w:rsidR="00E31876" w:rsidRPr="002700C0">
        <w:rPr>
          <w:rFonts w:asciiTheme="majorHAnsi" w:hAnsiTheme="majorHAnsi"/>
          <w:sz w:val="24"/>
        </w:rPr>
        <w:t xml:space="preserve"> </w:t>
      </w:r>
    </w:p>
    <w:p w14:paraId="2EAD5FFF" w14:textId="45F1CBFB" w:rsidR="00E31876" w:rsidRDefault="00841BD8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El estudiantado elaborará un compromiso </w:t>
      </w:r>
      <w:r w:rsidR="001D3C6B" w:rsidRPr="00ED2AB5">
        <w:rPr>
          <w:rFonts w:asciiTheme="majorHAnsi" w:hAnsiTheme="majorHAnsi"/>
          <w:bCs/>
          <w:sz w:val="24"/>
        </w:rPr>
        <w:t>RAM</w:t>
      </w:r>
      <w:r w:rsidR="001D3C6B"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="001D3C6B" w:rsidRPr="00ED2AB5">
        <w:rPr>
          <w:rFonts w:asciiTheme="majorHAnsi" w:hAnsiTheme="majorHAnsi"/>
          <w:bCs/>
          <w:sz w:val="24"/>
        </w:rPr>
        <w:t>de</w:t>
      </w:r>
      <w:r w:rsidR="001D3C6B"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="001D3C6B" w:rsidRPr="00ED2AB5">
        <w:rPr>
          <w:rFonts w:asciiTheme="majorHAnsi" w:hAnsiTheme="majorHAnsi"/>
          <w:bCs/>
          <w:sz w:val="24"/>
        </w:rPr>
        <w:t>las</w:t>
      </w:r>
      <w:r w:rsidR="001D3C6B"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="001D3C6B" w:rsidRPr="00ED2AB5">
        <w:rPr>
          <w:rFonts w:asciiTheme="majorHAnsi" w:hAnsiTheme="majorHAnsi"/>
          <w:bCs/>
          <w:sz w:val="24"/>
        </w:rPr>
        <w:t>asignaturas</w:t>
      </w:r>
      <w:r w:rsidR="001D3C6B"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="001D3C6B" w:rsidRPr="00ED2AB5">
        <w:rPr>
          <w:rFonts w:asciiTheme="majorHAnsi" w:hAnsiTheme="majorHAnsi"/>
          <w:bCs/>
          <w:sz w:val="24"/>
        </w:rPr>
        <w:t>básicas</w:t>
      </w:r>
      <w:r w:rsidR="00C57229">
        <w:rPr>
          <w:rFonts w:asciiTheme="majorHAnsi" w:hAnsiTheme="majorHAnsi"/>
          <w:bCs/>
          <w:spacing w:val="1"/>
          <w:sz w:val="24"/>
        </w:rPr>
        <w:t>,</w:t>
      </w:r>
      <w:r w:rsidR="001D3C6B"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="001D3C6B" w:rsidRPr="00ED2AB5">
        <w:rPr>
          <w:rFonts w:asciiTheme="majorHAnsi" w:hAnsiTheme="majorHAnsi"/>
          <w:bCs/>
          <w:sz w:val="24"/>
        </w:rPr>
        <w:t>obligatorias</w:t>
      </w:r>
      <w:r w:rsidR="001D3C6B" w:rsidRPr="002700C0">
        <w:rPr>
          <w:rFonts w:asciiTheme="majorHAnsi" w:hAnsiTheme="majorHAnsi"/>
          <w:b/>
          <w:spacing w:val="1"/>
          <w:sz w:val="24"/>
        </w:rPr>
        <w:t xml:space="preserve"> </w:t>
      </w:r>
      <w:r w:rsidR="00C57229" w:rsidRPr="00C57229">
        <w:rPr>
          <w:rFonts w:asciiTheme="majorHAnsi" w:hAnsiTheme="majorHAnsi"/>
          <w:bCs/>
          <w:spacing w:val="1"/>
          <w:sz w:val="24"/>
        </w:rPr>
        <w:t>y optativas</w:t>
      </w:r>
      <w:r w:rsidR="00C57229">
        <w:rPr>
          <w:rFonts w:asciiTheme="majorHAnsi" w:hAnsiTheme="majorHAnsi"/>
          <w:b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(del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Grado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que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cursa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el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 w:rsidR="001D3C6B" w:rsidRPr="002700C0">
        <w:rPr>
          <w:rFonts w:asciiTheme="majorHAnsi" w:hAnsiTheme="majorHAnsi"/>
          <w:sz w:val="24"/>
        </w:rPr>
        <w:t>estudiante)</w:t>
      </w:r>
      <w:r>
        <w:rPr>
          <w:rFonts w:asciiTheme="majorHAnsi" w:hAnsiTheme="majorHAnsi"/>
          <w:sz w:val="24"/>
        </w:rPr>
        <w:t xml:space="preserve">. </w:t>
      </w:r>
      <w:r w:rsidR="001D3C6B" w:rsidRPr="002700C0">
        <w:rPr>
          <w:rFonts w:asciiTheme="majorHAnsi" w:hAnsiTheme="majorHAnsi"/>
          <w:spacing w:val="1"/>
          <w:sz w:val="24"/>
        </w:rPr>
        <w:t xml:space="preserve"> </w:t>
      </w:r>
      <w:r>
        <w:rPr>
          <w:rFonts w:asciiTheme="majorHAnsi" w:hAnsiTheme="majorHAnsi"/>
          <w:sz w:val="24"/>
        </w:rPr>
        <w:t>No existe en la actualidad la posibilidad de una movilidad de Máster, al ser del de Derecho de carácter profesionalizante, y no haber oferta de Máster ni en Trabajo Social ni en Relaciones Laborales y Recursos Humanos.</w:t>
      </w:r>
    </w:p>
    <w:p w14:paraId="27BD916B" w14:textId="4F244525" w:rsidR="007F68A6" w:rsidRPr="002700C0" w:rsidRDefault="007F68A6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El estudiantado puede incluir en su propuesta cualquier asignatura que forme parte de su plan de estudios, siempre que sea susceptible de reconocimiento académico.</w:t>
      </w:r>
    </w:p>
    <w:p w14:paraId="13A30985" w14:textId="3ABCB0E4" w:rsidR="005A1590" w:rsidRPr="002700C0" w:rsidRDefault="00E31876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En el caso de la movilidad ERASMUS +, obtendrán reconocimiento académico </w:t>
      </w:r>
      <w:r w:rsidRPr="002700C0">
        <w:rPr>
          <w:rFonts w:asciiTheme="majorHAnsi" w:hAnsiTheme="majorHAnsi"/>
          <w:sz w:val="24"/>
        </w:rPr>
        <w:lastRenderedPageBreak/>
        <w:t xml:space="preserve">automático las asignaturas que figuran en los listados de Reconocimiento Académico </w:t>
      </w:r>
      <w:r w:rsidR="00037541">
        <w:rPr>
          <w:rFonts w:asciiTheme="majorHAnsi" w:hAnsiTheme="majorHAnsi"/>
          <w:sz w:val="24"/>
        </w:rPr>
        <w:t xml:space="preserve">automático </w:t>
      </w:r>
      <w:r w:rsidRPr="002700C0">
        <w:rPr>
          <w:rFonts w:asciiTheme="majorHAnsi" w:hAnsiTheme="majorHAnsi"/>
          <w:sz w:val="24"/>
        </w:rPr>
        <w:t xml:space="preserve">para Derecho, Trabajo Social y Relaciones Laborales y Recursos Humanos, que se harán públicos </w:t>
      </w:r>
      <w:r w:rsidRPr="002700C0">
        <w:rPr>
          <w:rFonts w:asciiTheme="majorHAnsi" w:hAnsiTheme="majorHAnsi"/>
          <w:i/>
          <w:iCs/>
          <w:sz w:val="24"/>
        </w:rPr>
        <w:t>antes</w:t>
      </w:r>
      <w:r w:rsidRPr="002700C0">
        <w:rPr>
          <w:rFonts w:asciiTheme="majorHAnsi" w:hAnsiTheme="majorHAnsi"/>
          <w:sz w:val="24"/>
        </w:rPr>
        <w:t xml:space="preserve"> de la convocatoria oficial de la movilidad.</w:t>
      </w:r>
      <w:r w:rsidR="005A1590" w:rsidRPr="002700C0">
        <w:rPr>
          <w:rFonts w:asciiTheme="majorHAnsi" w:hAnsiTheme="majorHAnsi"/>
          <w:sz w:val="24"/>
        </w:rPr>
        <w:t xml:space="preserve"> </w:t>
      </w:r>
    </w:p>
    <w:p w14:paraId="17AB7AB8" w14:textId="1808030E" w:rsidR="00E31876" w:rsidRPr="002700C0" w:rsidRDefault="005A1590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El estudiantado deberá valorar, al estudiar dicho listado, la viabilidad de su movilidad y de sus expectativas de duración de </w:t>
      </w:r>
      <w:proofErr w:type="gramStart"/>
      <w:r w:rsidRPr="002700C0">
        <w:rPr>
          <w:rFonts w:asciiTheme="majorHAnsi" w:hAnsiTheme="majorHAnsi"/>
          <w:sz w:val="24"/>
        </w:rPr>
        <w:t>la misma</w:t>
      </w:r>
      <w:proofErr w:type="gramEnd"/>
      <w:r w:rsidRPr="002700C0">
        <w:rPr>
          <w:rFonts w:asciiTheme="majorHAnsi" w:hAnsiTheme="majorHAnsi"/>
          <w:sz w:val="24"/>
        </w:rPr>
        <w:t xml:space="preserve">. </w:t>
      </w:r>
    </w:p>
    <w:p w14:paraId="4BA5FDF4" w14:textId="7B5434E4" w:rsidR="00E31876" w:rsidRPr="002700C0" w:rsidRDefault="00E31876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En el caso de que para la propuesta RAM ERASMUS+ de un/a estudiante no figuren asignaturas en dicho listado, dicho/a estudiante </w:t>
      </w:r>
      <w:r w:rsidR="005A1590" w:rsidRPr="002700C0">
        <w:rPr>
          <w:rFonts w:asciiTheme="majorHAnsi" w:hAnsiTheme="majorHAnsi"/>
          <w:sz w:val="24"/>
        </w:rPr>
        <w:t xml:space="preserve">analizará </w:t>
      </w:r>
      <w:r w:rsidR="005A1590" w:rsidRPr="00ED2AB5">
        <w:rPr>
          <w:rFonts w:asciiTheme="majorHAnsi" w:hAnsiTheme="majorHAnsi"/>
          <w:sz w:val="24"/>
        </w:rPr>
        <w:t>la oferta académica</w:t>
      </w:r>
      <w:r w:rsidR="005A1590" w:rsidRPr="00ED2AB5">
        <w:rPr>
          <w:rFonts w:asciiTheme="majorHAnsi" w:hAnsiTheme="majorHAnsi"/>
          <w:spacing w:val="1"/>
          <w:sz w:val="24"/>
        </w:rPr>
        <w:t xml:space="preserve"> </w:t>
      </w:r>
      <w:r w:rsidR="005A1590" w:rsidRPr="00ED2AB5">
        <w:rPr>
          <w:rFonts w:asciiTheme="majorHAnsi" w:hAnsiTheme="majorHAnsi"/>
          <w:sz w:val="24"/>
        </w:rPr>
        <w:t>de la universidad de destino</w:t>
      </w:r>
      <w:r w:rsidR="005A1590" w:rsidRPr="002700C0">
        <w:rPr>
          <w:rFonts w:asciiTheme="majorHAnsi" w:hAnsiTheme="majorHAnsi"/>
          <w:b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elegida, al objeto de valorar las asignaturas que puede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incluir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en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su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Compromiso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de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Reconocimiento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Académico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>(compromiso</w:t>
      </w:r>
      <w:r w:rsidR="005A1590" w:rsidRPr="002700C0">
        <w:rPr>
          <w:rFonts w:asciiTheme="majorHAnsi" w:hAnsiTheme="majorHAnsi"/>
          <w:spacing w:val="1"/>
          <w:sz w:val="24"/>
        </w:rPr>
        <w:t xml:space="preserve"> </w:t>
      </w:r>
      <w:r w:rsidR="005A1590" w:rsidRPr="002700C0">
        <w:rPr>
          <w:rFonts w:asciiTheme="majorHAnsi" w:hAnsiTheme="majorHAnsi"/>
          <w:sz w:val="24"/>
        </w:rPr>
        <w:t xml:space="preserve">RAM). La propuesta RAM debe incluir, bien el enlace a los proyectos docentes de la Universidad de destino, bien los documentos con dichos proyectos docentes. </w:t>
      </w:r>
      <w:r w:rsidR="00514919" w:rsidRPr="002700C0">
        <w:rPr>
          <w:rFonts w:asciiTheme="majorHAnsi" w:hAnsiTheme="majorHAnsi"/>
          <w:sz w:val="24"/>
        </w:rPr>
        <w:t xml:space="preserve">Para su aceptación como asignatura reconocible debe haber una </w:t>
      </w:r>
      <w:proofErr w:type="spellStart"/>
      <w:r w:rsidR="00514919" w:rsidRPr="002700C0">
        <w:rPr>
          <w:rFonts w:asciiTheme="majorHAnsi" w:hAnsiTheme="majorHAnsi"/>
          <w:sz w:val="24"/>
        </w:rPr>
        <w:t>similaridad</w:t>
      </w:r>
      <w:proofErr w:type="spellEnd"/>
      <w:r w:rsidR="00514919" w:rsidRPr="002700C0">
        <w:rPr>
          <w:rFonts w:asciiTheme="majorHAnsi" w:hAnsiTheme="majorHAnsi"/>
          <w:sz w:val="24"/>
        </w:rPr>
        <w:t xml:space="preserve"> del 60% en cuanto a contenidos.</w:t>
      </w:r>
    </w:p>
    <w:p w14:paraId="45CA00C1" w14:textId="5CDA6CD9" w:rsidR="00514919" w:rsidRPr="002700C0" w:rsidRDefault="00514919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En el caso de </w:t>
      </w:r>
      <w:r w:rsidR="00E90B70">
        <w:rPr>
          <w:rFonts w:asciiTheme="majorHAnsi" w:hAnsiTheme="majorHAnsi"/>
          <w:sz w:val="24"/>
        </w:rPr>
        <w:t>que par</w:t>
      </w:r>
      <w:r w:rsidRPr="002700C0">
        <w:rPr>
          <w:rFonts w:asciiTheme="majorHAnsi" w:hAnsiTheme="majorHAnsi"/>
          <w:sz w:val="24"/>
        </w:rPr>
        <w:t xml:space="preserve">a propuesta RAM SICUE de un/a estudiante no figuren asignaturas en dicho listado, dicho/a estudiante analizará la </w:t>
      </w:r>
      <w:r w:rsidRPr="00ED2AB5">
        <w:rPr>
          <w:rFonts w:asciiTheme="majorHAnsi" w:hAnsiTheme="majorHAnsi"/>
          <w:bCs/>
          <w:sz w:val="24"/>
        </w:rPr>
        <w:t>oferta académica</w:t>
      </w:r>
      <w:r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Pr="00ED2AB5">
        <w:rPr>
          <w:rFonts w:asciiTheme="majorHAnsi" w:hAnsiTheme="majorHAnsi"/>
          <w:bCs/>
          <w:sz w:val="24"/>
        </w:rPr>
        <w:t>de la universidad de destino e</w:t>
      </w:r>
      <w:r w:rsidRPr="002700C0">
        <w:rPr>
          <w:rFonts w:asciiTheme="majorHAnsi" w:hAnsiTheme="majorHAnsi"/>
          <w:sz w:val="24"/>
        </w:rPr>
        <w:t>legida, al objeto de valorar las asignaturas que puede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incluir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en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su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Compromiso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de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Reconocimiento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Académico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(compromiso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RAM). La propuesta RAM debe incluir, bien el enlace a los proyectos docentes de la Universidad de destino, bien los documentos con dichos proyectos docentes. Para su aceptación como asignatura reconocible debe haber una simi</w:t>
      </w:r>
      <w:r w:rsidR="0002501D">
        <w:rPr>
          <w:rFonts w:asciiTheme="majorHAnsi" w:hAnsiTheme="majorHAnsi"/>
          <w:sz w:val="24"/>
        </w:rPr>
        <w:t>litud</w:t>
      </w:r>
      <w:r w:rsidRPr="002700C0">
        <w:rPr>
          <w:rFonts w:asciiTheme="majorHAnsi" w:hAnsiTheme="majorHAnsi"/>
          <w:sz w:val="24"/>
        </w:rPr>
        <w:t xml:space="preserve"> del 60% en cuanto a contenidos.</w:t>
      </w:r>
    </w:p>
    <w:p w14:paraId="2FE3A2CE" w14:textId="322B285B" w:rsidR="00514919" w:rsidRPr="002700C0" w:rsidRDefault="00514919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En el caso de </w:t>
      </w:r>
      <w:r w:rsidR="00E90B70">
        <w:rPr>
          <w:rFonts w:asciiTheme="majorHAnsi" w:hAnsiTheme="majorHAnsi"/>
          <w:sz w:val="24"/>
        </w:rPr>
        <w:t>que para la</w:t>
      </w:r>
      <w:r w:rsidRPr="002700C0">
        <w:rPr>
          <w:rFonts w:asciiTheme="majorHAnsi" w:hAnsiTheme="majorHAnsi"/>
          <w:sz w:val="24"/>
        </w:rPr>
        <w:t xml:space="preserve"> propuesta de</w:t>
      </w:r>
      <w:r w:rsidR="00E90B70">
        <w:rPr>
          <w:rFonts w:asciiTheme="majorHAnsi" w:hAnsiTheme="majorHAnsi"/>
          <w:sz w:val="24"/>
        </w:rPr>
        <w:t xml:space="preserve"> RAM </w:t>
      </w:r>
      <w:r w:rsidR="00302D4E">
        <w:rPr>
          <w:rFonts w:asciiTheme="majorHAnsi" w:hAnsiTheme="majorHAnsi"/>
          <w:sz w:val="24"/>
        </w:rPr>
        <w:t>MUNDUS</w:t>
      </w:r>
      <w:r w:rsidR="00E90B70">
        <w:rPr>
          <w:rFonts w:asciiTheme="majorHAnsi" w:hAnsiTheme="majorHAnsi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 xml:space="preserve">de un/a estudiante no figuren asignaturas en dicho listado, dicho/a estudiante analizará la </w:t>
      </w:r>
      <w:r w:rsidRPr="00ED2AB5">
        <w:rPr>
          <w:rFonts w:asciiTheme="majorHAnsi" w:hAnsiTheme="majorHAnsi"/>
          <w:bCs/>
          <w:sz w:val="24"/>
        </w:rPr>
        <w:t>oferta académica</w:t>
      </w:r>
      <w:r w:rsidRPr="00ED2AB5">
        <w:rPr>
          <w:rFonts w:asciiTheme="majorHAnsi" w:hAnsiTheme="majorHAnsi"/>
          <w:bCs/>
          <w:spacing w:val="1"/>
          <w:sz w:val="24"/>
        </w:rPr>
        <w:t xml:space="preserve"> </w:t>
      </w:r>
      <w:r w:rsidRPr="00ED2AB5">
        <w:rPr>
          <w:rFonts w:asciiTheme="majorHAnsi" w:hAnsiTheme="majorHAnsi"/>
          <w:bCs/>
          <w:sz w:val="24"/>
        </w:rPr>
        <w:t xml:space="preserve">de la universidad de destino </w:t>
      </w:r>
      <w:r w:rsidRPr="002700C0">
        <w:rPr>
          <w:rFonts w:asciiTheme="majorHAnsi" w:hAnsiTheme="majorHAnsi"/>
          <w:sz w:val="24"/>
        </w:rPr>
        <w:t>elegida, al objeto de valorar las asignaturas que puede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incluir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en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su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Compromiso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de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Reconocimiento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Académico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(compromiso</w:t>
      </w:r>
      <w:r w:rsidRPr="002700C0">
        <w:rPr>
          <w:rFonts w:asciiTheme="majorHAnsi" w:hAnsiTheme="majorHAnsi"/>
          <w:spacing w:val="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RAM). La propuesta RAM debe incluir, bien el enlace a los proyectos docentes de la Universidad de destino, bien los documentos con dichos proyectos docentes. Para su aceptación como asignatura reconocible debe haber una simil</w:t>
      </w:r>
      <w:r w:rsidR="0002501D">
        <w:rPr>
          <w:rFonts w:asciiTheme="majorHAnsi" w:hAnsiTheme="majorHAnsi"/>
          <w:sz w:val="24"/>
        </w:rPr>
        <w:t>itud</w:t>
      </w:r>
      <w:r w:rsidRPr="002700C0">
        <w:rPr>
          <w:rFonts w:asciiTheme="majorHAnsi" w:hAnsiTheme="majorHAnsi"/>
          <w:sz w:val="24"/>
        </w:rPr>
        <w:t xml:space="preserve"> del 60% en cuanto a contenidos.</w:t>
      </w:r>
    </w:p>
    <w:p w14:paraId="0D148FCA" w14:textId="66C35ABD" w:rsidR="00AF03E0" w:rsidRPr="002700C0" w:rsidRDefault="00AF03E0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Las asignaturas optativas en cualquiera de los programas de movilidad pueden reconocerse de dos maneras: </w:t>
      </w:r>
    </w:p>
    <w:p w14:paraId="12C4FF04" w14:textId="4272D6C7" w:rsidR="000C6B11" w:rsidRDefault="000C6B11" w:rsidP="0093606F">
      <w:pPr>
        <w:pStyle w:val="Prrafodelista"/>
        <w:tabs>
          <w:tab w:val="left" w:pos="886"/>
        </w:tabs>
        <w:spacing w:before="114" w:line="360" w:lineRule="auto"/>
        <w:ind w:left="720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8.1 </w:t>
      </w:r>
      <w:r w:rsidR="00AF03E0" w:rsidRPr="002700C0">
        <w:rPr>
          <w:rFonts w:asciiTheme="majorHAnsi" w:hAnsiTheme="majorHAnsi"/>
          <w:sz w:val="24"/>
        </w:rPr>
        <w:t xml:space="preserve">Bien porque se reconocen asignaturas en destino de la misma área (optativas o no) con, al menos, el número mínimo de créditos que en origen.  </w:t>
      </w:r>
    </w:p>
    <w:p w14:paraId="31F0C01C" w14:textId="7EE5D396" w:rsidR="00AF03E0" w:rsidRPr="000C6B11" w:rsidRDefault="000C6B11" w:rsidP="0093606F">
      <w:pPr>
        <w:pStyle w:val="Prrafodelista"/>
        <w:tabs>
          <w:tab w:val="left" w:pos="886"/>
        </w:tabs>
        <w:spacing w:before="114" w:line="360" w:lineRule="auto"/>
        <w:ind w:left="720" w:firstLine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8.2. </w:t>
      </w:r>
      <w:r w:rsidR="00AF03E0" w:rsidRPr="000C6B11">
        <w:rPr>
          <w:rFonts w:asciiTheme="majorHAnsi" w:hAnsiTheme="majorHAnsi"/>
          <w:sz w:val="24"/>
        </w:rPr>
        <w:t>Bien porque existen créditos sobrantes de asignaturas en destino que permiten ese reconocimiento (por ejemplo, en destino la asignatura tiene 9 créditos y en la ULPGC 6).</w:t>
      </w:r>
    </w:p>
    <w:p w14:paraId="2AE2A3B3" w14:textId="77777777" w:rsidR="00F946EE" w:rsidRDefault="00514919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lastRenderedPageBreak/>
        <w:t xml:space="preserve">Corresponde al/la estudiante informarse del semestre y horario de impartición de las asignaturas en destino. </w:t>
      </w:r>
    </w:p>
    <w:p w14:paraId="118F3B65" w14:textId="27D82A7C" w:rsidR="00F946EE" w:rsidRPr="00F946EE" w:rsidRDefault="00F946EE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F946EE">
        <w:rPr>
          <w:rFonts w:asciiTheme="majorHAnsi" w:hAnsiTheme="majorHAnsi"/>
          <w:sz w:val="24"/>
        </w:rPr>
        <w:t xml:space="preserve">Los estudiantes de movilidad que se encuentren en la </w:t>
      </w:r>
      <w:r w:rsidRPr="00ED2AB5">
        <w:rPr>
          <w:rFonts w:asciiTheme="majorHAnsi" w:hAnsiTheme="majorHAnsi"/>
          <w:bCs/>
          <w:sz w:val="24"/>
          <w:u w:val="single"/>
        </w:rPr>
        <w:t>imposibilidad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manifiesta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de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confeccionar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una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propuesta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suficiente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y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aceptable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>de</w:t>
      </w:r>
      <w:r w:rsidRPr="00ED2AB5">
        <w:rPr>
          <w:rFonts w:asciiTheme="majorHAnsi" w:hAnsiTheme="majorHAnsi"/>
          <w:bCs/>
          <w:spacing w:val="1"/>
          <w:sz w:val="24"/>
          <w:u w:val="single"/>
        </w:rPr>
        <w:t xml:space="preserve"> </w:t>
      </w:r>
      <w:r w:rsidRPr="00ED2AB5">
        <w:rPr>
          <w:rFonts w:asciiTheme="majorHAnsi" w:hAnsiTheme="majorHAnsi"/>
          <w:bCs/>
          <w:sz w:val="24"/>
          <w:u w:val="single"/>
        </w:rPr>
        <w:t xml:space="preserve">compromiso RAM </w:t>
      </w:r>
      <w:r w:rsidRPr="00F946EE">
        <w:rPr>
          <w:rFonts w:asciiTheme="majorHAnsi" w:hAnsiTheme="majorHAnsi"/>
          <w:sz w:val="24"/>
        </w:rPr>
        <w:t>podrán formular renuncia por causa justificada siguiendo para</w:t>
      </w:r>
      <w:r w:rsidRPr="00F946EE">
        <w:rPr>
          <w:rFonts w:asciiTheme="majorHAnsi" w:hAnsiTheme="majorHAnsi"/>
          <w:spacing w:val="1"/>
          <w:sz w:val="24"/>
        </w:rPr>
        <w:t xml:space="preserve"> </w:t>
      </w:r>
      <w:r w:rsidRPr="00F946EE">
        <w:rPr>
          <w:rFonts w:asciiTheme="majorHAnsi" w:hAnsiTheme="majorHAnsi"/>
          <w:sz w:val="24"/>
        </w:rPr>
        <w:t>ello el procedimiento previsto en el Reglamento MERA de la ULPGC. Si quedaran</w:t>
      </w:r>
      <w:r w:rsidRPr="00F946EE">
        <w:rPr>
          <w:rFonts w:asciiTheme="majorHAnsi" w:hAnsiTheme="majorHAnsi"/>
          <w:spacing w:val="1"/>
          <w:sz w:val="24"/>
        </w:rPr>
        <w:t xml:space="preserve"> </w:t>
      </w:r>
      <w:r w:rsidRPr="00F946EE">
        <w:rPr>
          <w:rFonts w:asciiTheme="majorHAnsi" w:hAnsiTheme="majorHAnsi"/>
          <w:sz w:val="24"/>
        </w:rPr>
        <w:t>plazas no asignadas en otra Universidad, podrán solicitar al Vicedecano y a la</w:t>
      </w:r>
      <w:r w:rsidRPr="00F946EE">
        <w:rPr>
          <w:rFonts w:asciiTheme="majorHAnsi" w:hAnsiTheme="majorHAnsi"/>
          <w:spacing w:val="1"/>
          <w:sz w:val="24"/>
        </w:rPr>
        <w:t xml:space="preserve"> </w:t>
      </w:r>
      <w:r w:rsidRPr="00F946EE">
        <w:rPr>
          <w:rFonts w:asciiTheme="majorHAnsi" w:hAnsiTheme="majorHAnsi"/>
          <w:sz w:val="24"/>
        </w:rPr>
        <w:t>Oficina de RR. II. ser adscritos a otro destino y formular una nueva propuesta de</w:t>
      </w:r>
      <w:r w:rsidRPr="00F946EE">
        <w:rPr>
          <w:rFonts w:asciiTheme="majorHAnsi" w:hAnsiTheme="majorHAnsi"/>
          <w:spacing w:val="1"/>
          <w:sz w:val="24"/>
        </w:rPr>
        <w:t xml:space="preserve"> </w:t>
      </w:r>
      <w:r w:rsidRPr="00F946EE">
        <w:rPr>
          <w:rFonts w:asciiTheme="majorHAnsi" w:hAnsiTheme="majorHAnsi"/>
          <w:sz w:val="24"/>
        </w:rPr>
        <w:t>RAM.</w:t>
      </w:r>
    </w:p>
    <w:p w14:paraId="497B12DB" w14:textId="07540C43" w:rsidR="00F946EE" w:rsidRDefault="00F946EE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Con carácter general, </w:t>
      </w:r>
      <w:r w:rsidR="00C24A40">
        <w:rPr>
          <w:rFonts w:asciiTheme="majorHAnsi" w:hAnsiTheme="majorHAnsi"/>
          <w:sz w:val="24"/>
        </w:rPr>
        <w:t>el número de créditos mínimos en destino que se exigen para la movilidad de un semestre es de 24, y un máximo de 30. Para una movilidad de un curso entero, los créditos oscilan entre 48 y 60. En el caso de la movilidad por un curso entero, debe haber un equilibrio entre ambos semestres.</w:t>
      </w:r>
    </w:p>
    <w:p w14:paraId="40221090" w14:textId="7AD19B06" w:rsidR="007F68A6" w:rsidRDefault="00C24A40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 caso de incluir asignaturas que se implante</w:t>
      </w:r>
      <w:r w:rsidR="001354C6">
        <w:rPr>
          <w:rFonts w:asciiTheme="majorHAnsi" w:hAnsiTheme="majorHAnsi"/>
          <w:sz w:val="24"/>
        </w:rPr>
        <w:t>n</w:t>
      </w:r>
      <w:r>
        <w:rPr>
          <w:rFonts w:asciiTheme="majorHAnsi" w:hAnsiTheme="majorHAnsi"/>
          <w:sz w:val="24"/>
        </w:rPr>
        <w:t xml:space="preserve"> en inglés en la propuesta, el/la estudiante debe asegurarse que </w:t>
      </w:r>
      <w:r w:rsidR="001354C6">
        <w:rPr>
          <w:rFonts w:asciiTheme="majorHAnsi" w:hAnsiTheme="majorHAnsi"/>
          <w:sz w:val="24"/>
        </w:rPr>
        <w:t xml:space="preserve">existe </w:t>
      </w:r>
      <w:r w:rsidR="0002501D">
        <w:rPr>
          <w:rFonts w:asciiTheme="majorHAnsi" w:hAnsiTheme="majorHAnsi"/>
          <w:sz w:val="24"/>
        </w:rPr>
        <w:t>un número</w:t>
      </w:r>
      <w:r w:rsidR="001354C6">
        <w:rPr>
          <w:rFonts w:asciiTheme="majorHAnsi" w:hAnsiTheme="majorHAnsi"/>
          <w:sz w:val="24"/>
        </w:rPr>
        <w:t xml:space="preserve"> equivalente de créditos en inglés en destino, aunque no sea de la misma asignatura.</w:t>
      </w:r>
    </w:p>
    <w:p w14:paraId="73BE6BCF" w14:textId="238BB682" w:rsidR="00CC3707" w:rsidRDefault="00CC3707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Las asignaturas </w:t>
      </w:r>
      <w:r w:rsidRPr="00CC3707">
        <w:rPr>
          <w:rFonts w:asciiTheme="majorHAnsi" w:hAnsiTheme="majorHAnsi"/>
          <w:i/>
          <w:iCs/>
          <w:sz w:val="24"/>
        </w:rPr>
        <w:t>Prácticas externas</w:t>
      </w:r>
      <w:r>
        <w:rPr>
          <w:rFonts w:asciiTheme="majorHAnsi" w:hAnsiTheme="majorHAnsi"/>
          <w:sz w:val="24"/>
        </w:rPr>
        <w:t xml:space="preserve"> y </w:t>
      </w:r>
      <w:r w:rsidRPr="00CC3707">
        <w:rPr>
          <w:rFonts w:asciiTheme="majorHAnsi" w:hAnsiTheme="majorHAnsi"/>
          <w:i/>
          <w:iCs/>
          <w:sz w:val="24"/>
        </w:rPr>
        <w:t>Trabajo de Fin de Título</w:t>
      </w:r>
      <w:r>
        <w:rPr>
          <w:rFonts w:asciiTheme="majorHAnsi" w:hAnsiTheme="majorHAnsi"/>
          <w:sz w:val="24"/>
        </w:rPr>
        <w:t xml:space="preserve"> no se autorizan para el reconocimiento académico por movilidad.</w:t>
      </w:r>
    </w:p>
    <w:p w14:paraId="5C45DB8A" w14:textId="6195BFCB" w:rsidR="00C57229" w:rsidRPr="007F68A6" w:rsidRDefault="00C57229" w:rsidP="0093606F">
      <w:pPr>
        <w:pStyle w:val="Prrafodelista"/>
        <w:numPr>
          <w:ilvl w:val="0"/>
          <w:numId w:val="2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 el caso de movilidad para un solo semestre, las asignaturas de origen y destino deben coincidir en el semestre de impartición.</w:t>
      </w:r>
    </w:p>
    <w:p w14:paraId="7FB94EB9" w14:textId="1100B0D3" w:rsidR="000C6B11" w:rsidRPr="007F68A6" w:rsidRDefault="002700C0" w:rsidP="0093606F">
      <w:pPr>
        <w:pStyle w:val="Ttulo1"/>
        <w:spacing w:line="360" w:lineRule="auto"/>
        <w:jc w:val="both"/>
      </w:pPr>
      <w:r w:rsidRPr="002700C0">
        <w:t xml:space="preserve">2. </w:t>
      </w:r>
      <w:r w:rsidR="000C6B11">
        <w:t>Requisitos para la entrega del documento RAM</w:t>
      </w:r>
    </w:p>
    <w:p w14:paraId="5D305F40" w14:textId="533C57B0" w:rsidR="00514919" w:rsidRPr="002700C0" w:rsidRDefault="00514919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>El estudiante utilizará el modelo de propuesta RAM disponible en la web de la Facultad</w:t>
      </w:r>
      <w:r w:rsidR="00AF03E0" w:rsidRPr="002700C0">
        <w:rPr>
          <w:rFonts w:asciiTheme="majorHAnsi" w:hAnsiTheme="majorHAnsi"/>
          <w:sz w:val="24"/>
        </w:rPr>
        <w:t xml:space="preserve">, tanto para la movilidad ERAMUS como para la movilidad </w:t>
      </w:r>
      <w:r w:rsidR="0002501D" w:rsidRPr="002700C0">
        <w:rPr>
          <w:rFonts w:asciiTheme="majorHAnsi" w:hAnsiTheme="majorHAnsi"/>
          <w:sz w:val="24"/>
        </w:rPr>
        <w:t>SICUE.</w:t>
      </w:r>
      <w:r w:rsidRPr="002700C0">
        <w:rPr>
          <w:rFonts w:asciiTheme="majorHAnsi" w:hAnsiTheme="majorHAnsi"/>
          <w:sz w:val="24"/>
        </w:rPr>
        <w:t xml:space="preserve"> En dicho documento se deberá:</w:t>
      </w:r>
    </w:p>
    <w:p w14:paraId="0C2DD42B" w14:textId="77777777" w:rsidR="00AF03E0" w:rsidRPr="002700C0" w:rsidRDefault="00AF03E0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</w:p>
    <w:p w14:paraId="2464210A" w14:textId="6875F097" w:rsidR="001D3C6B" w:rsidRDefault="001D3C6B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Entregar el documento en formato Word.</w:t>
      </w:r>
    </w:p>
    <w:p w14:paraId="41BE71A5" w14:textId="48EBB805" w:rsidR="00514919" w:rsidRDefault="00514919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>Ordenar siempre las asignaturas de la ULPGC por su código (de menor a</w:t>
      </w:r>
      <w:r w:rsidRPr="002700C0">
        <w:rPr>
          <w:rFonts w:asciiTheme="majorHAnsi" w:hAnsiTheme="majorHAnsi"/>
          <w:spacing w:val="-65"/>
          <w:sz w:val="24"/>
        </w:rPr>
        <w:t xml:space="preserve"> </w:t>
      </w:r>
      <w:r w:rsidR="001D3C6B">
        <w:rPr>
          <w:rFonts w:asciiTheme="majorHAnsi" w:hAnsiTheme="majorHAnsi"/>
          <w:spacing w:val="-65"/>
          <w:sz w:val="24"/>
        </w:rPr>
        <w:t xml:space="preserve">        </w:t>
      </w:r>
      <w:r w:rsidRPr="002700C0">
        <w:rPr>
          <w:rFonts w:asciiTheme="majorHAnsi" w:hAnsiTheme="majorHAnsi"/>
          <w:spacing w:val="-1"/>
          <w:sz w:val="24"/>
        </w:rPr>
        <w:t>mayor)</w:t>
      </w:r>
      <w:r w:rsidRPr="002700C0">
        <w:rPr>
          <w:rFonts w:asciiTheme="majorHAnsi" w:hAnsiTheme="majorHAnsi"/>
          <w:sz w:val="24"/>
        </w:rPr>
        <w:t xml:space="preserve"> </w:t>
      </w:r>
      <w:r w:rsidRPr="002700C0">
        <w:rPr>
          <w:rFonts w:asciiTheme="majorHAnsi" w:hAnsiTheme="majorHAnsi"/>
          <w:spacing w:val="-1"/>
          <w:sz w:val="24"/>
        </w:rPr>
        <w:t>y</w:t>
      </w:r>
      <w:r w:rsidRPr="002700C0">
        <w:rPr>
          <w:rFonts w:asciiTheme="majorHAnsi" w:hAnsiTheme="majorHAnsi"/>
          <w:sz w:val="24"/>
        </w:rPr>
        <w:t xml:space="preserve"> </w:t>
      </w:r>
      <w:r w:rsidRPr="002700C0">
        <w:rPr>
          <w:rFonts w:asciiTheme="majorHAnsi" w:hAnsiTheme="majorHAnsi"/>
          <w:spacing w:val="-1"/>
          <w:sz w:val="24"/>
        </w:rPr>
        <w:t xml:space="preserve">emplear la denominación oficial </w:t>
      </w:r>
      <w:r w:rsidRPr="002700C0">
        <w:rPr>
          <w:rFonts w:asciiTheme="majorHAnsi" w:hAnsiTheme="majorHAnsi"/>
          <w:sz w:val="24"/>
        </w:rPr>
        <w:t>de</w:t>
      </w:r>
      <w:r w:rsidRPr="002700C0">
        <w:rPr>
          <w:rFonts w:asciiTheme="majorHAnsi" w:hAnsiTheme="majorHAnsi"/>
          <w:spacing w:val="-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cada una</w:t>
      </w:r>
      <w:r w:rsidRPr="002700C0">
        <w:rPr>
          <w:rFonts w:asciiTheme="majorHAnsi" w:hAnsiTheme="majorHAnsi"/>
          <w:spacing w:val="-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de</w:t>
      </w:r>
      <w:r w:rsidRPr="002700C0">
        <w:rPr>
          <w:rFonts w:asciiTheme="majorHAnsi" w:hAnsiTheme="majorHAnsi"/>
          <w:spacing w:val="-21"/>
          <w:sz w:val="24"/>
        </w:rPr>
        <w:t xml:space="preserve"> </w:t>
      </w:r>
      <w:r w:rsidRPr="002700C0">
        <w:rPr>
          <w:rFonts w:asciiTheme="majorHAnsi" w:hAnsiTheme="majorHAnsi"/>
          <w:sz w:val="24"/>
        </w:rPr>
        <w:t>ellas.</w:t>
      </w:r>
    </w:p>
    <w:p w14:paraId="15FF7987" w14:textId="21B5D052" w:rsidR="00C57229" w:rsidRPr="002700C0" w:rsidRDefault="00C57229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Incluir el semestre de impartición.</w:t>
      </w:r>
    </w:p>
    <w:p w14:paraId="166753B4" w14:textId="68432716" w:rsidR="002700C0" w:rsidRPr="002700C0" w:rsidRDefault="00AF03E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>Reflejar siempre los créditos en origen y destino, y la suma de créditos en origen y destino.</w:t>
      </w:r>
    </w:p>
    <w:p w14:paraId="428179CE" w14:textId="733F734C" w:rsidR="00514919" w:rsidRPr="002700C0" w:rsidRDefault="002700C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Incorporar las asignaturas de reconocimiento automático, si fuera el caso. Estas </w:t>
      </w:r>
      <w:r w:rsidRPr="002700C0">
        <w:rPr>
          <w:rFonts w:asciiTheme="majorHAnsi" w:hAnsiTheme="majorHAnsi"/>
          <w:sz w:val="24"/>
        </w:rPr>
        <w:lastRenderedPageBreak/>
        <w:t>asignaturas figurarán en letra normal.</w:t>
      </w:r>
      <w:r w:rsidR="00AF03E0" w:rsidRPr="002700C0">
        <w:rPr>
          <w:rFonts w:asciiTheme="majorHAnsi" w:hAnsiTheme="majorHAnsi"/>
          <w:sz w:val="24"/>
        </w:rPr>
        <w:t xml:space="preserve"> </w:t>
      </w:r>
    </w:p>
    <w:p w14:paraId="2DC1C34A" w14:textId="70D7B8B3" w:rsidR="002700C0" w:rsidRPr="002700C0" w:rsidRDefault="00AF03E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Incorporar </w:t>
      </w:r>
      <w:r w:rsidR="0002501D" w:rsidRPr="002700C0">
        <w:rPr>
          <w:rFonts w:asciiTheme="majorHAnsi" w:hAnsiTheme="majorHAnsi"/>
          <w:sz w:val="24"/>
        </w:rPr>
        <w:t>las asignaturas</w:t>
      </w:r>
      <w:r w:rsidR="002700C0" w:rsidRPr="002700C0">
        <w:rPr>
          <w:rFonts w:asciiTheme="majorHAnsi" w:hAnsiTheme="majorHAnsi"/>
          <w:sz w:val="24"/>
        </w:rPr>
        <w:t xml:space="preserve"> que no tiene reconocimiento automático </w:t>
      </w:r>
      <w:r w:rsidR="002700C0" w:rsidRPr="002700C0">
        <w:rPr>
          <w:rFonts w:asciiTheme="majorHAnsi" w:hAnsiTheme="majorHAnsi"/>
          <w:b/>
          <w:bCs/>
          <w:sz w:val="24"/>
        </w:rPr>
        <w:t>en negrita.</w:t>
      </w:r>
      <w:r w:rsidR="002700C0" w:rsidRPr="002700C0">
        <w:rPr>
          <w:rFonts w:asciiTheme="majorHAnsi" w:hAnsiTheme="majorHAnsi"/>
          <w:sz w:val="24"/>
        </w:rPr>
        <w:t xml:space="preserve"> </w:t>
      </w:r>
    </w:p>
    <w:p w14:paraId="59337F10" w14:textId="2FA98AF8" w:rsidR="00AF03E0" w:rsidRPr="002700C0" w:rsidRDefault="002700C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 xml:space="preserve">Incorporar los </w:t>
      </w:r>
      <w:r w:rsidR="00AF03E0" w:rsidRPr="002700C0">
        <w:rPr>
          <w:rFonts w:asciiTheme="majorHAnsi" w:hAnsiTheme="majorHAnsi"/>
          <w:sz w:val="24"/>
        </w:rPr>
        <w:t xml:space="preserve">enlaces a las asignaturas de destino, si estas no </w:t>
      </w:r>
      <w:r w:rsidRPr="002700C0">
        <w:rPr>
          <w:rFonts w:asciiTheme="majorHAnsi" w:hAnsiTheme="majorHAnsi"/>
          <w:sz w:val="24"/>
        </w:rPr>
        <w:t xml:space="preserve">figuran en las de reconocimiento automático. </w:t>
      </w:r>
    </w:p>
    <w:p w14:paraId="2E58F6D9" w14:textId="164514C7" w:rsidR="002700C0" w:rsidRPr="002700C0" w:rsidRDefault="002700C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>Firmar el documento, bien manual, bien electrónicamente.</w:t>
      </w:r>
    </w:p>
    <w:p w14:paraId="2A30CB17" w14:textId="08FBAA49" w:rsidR="002700C0" w:rsidRPr="002700C0" w:rsidRDefault="002700C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sz w:val="24"/>
        </w:rPr>
      </w:pPr>
      <w:r w:rsidRPr="002700C0">
        <w:rPr>
          <w:rFonts w:asciiTheme="majorHAnsi" w:hAnsiTheme="majorHAnsi"/>
          <w:sz w:val="24"/>
        </w:rPr>
        <w:t>Entregar el archivo con el nombre RAM1NOMBREYAPELLIDO</w:t>
      </w:r>
      <w:r w:rsidR="008F452B">
        <w:rPr>
          <w:rFonts w:asciiTheme="majorHAnsi" w:hAnsiTheme="majorHAnsi"/>
          <w:sz w:val="24"/>
        </w:rPr>
        <w:t>TITULACIÓN</w:t>
      </w:r>
      <w:r w:rsidRPr="002700C0">
        <w:rPr>
          <w:rFonts w:asciiTheme="majorHAnsi" w:hAnsiTheme="majorHAnsi"/>
          <w:sz w:val="24"/>
        </w:rPr>
        <w:t>PROGRAMA. Por ejemplo: RAM1MARIAEUGENIACARDENALSOCIOLOGIASICUE.</w:t>
      </w:r>
      <w:r w:rsidR="0002501D">
        <w:rPr>
          <w:rFonts w:asciiTheme="majorHAnsi" w:hAnsiTheme="majorHAnsi"/>
          <w:sz w:val="24"/>
        </w:rPr>
        <w:t xml:space="preserve"> Los documentos posteriores cambiarán el número de RAM.</w:t>
      </w:r>
    </w:p>
    <w:p w14:paraId="200E9944" w14:textId="7A89CADE" w:rsidR="002700C0" w:rsidRPr="001D3C6B" w:rsidRDefault="002700C0" w:rsidP="0093606F">
      <w:pPr>
        <w:pStyle w:val="Prrafodelista"/>
        <w:numPr>
          <w:ilvl w:val="0"/>
          <w:numId w:val="5"/>
        </w:numPr>
        <w:tabs>
          <w:tab w:val="left" w:pos="886"/>
        </w:tabs>
        <w:spacing w:before="114" w:line="360" w:lineRule="auto"/>
        <w:rPr>
          <w:rFonts w:asciiTheme="majorHAnsi" w:hAnsiTheme="majorHAnsi"/>
          <w:b/>
          <w:bCs/>
          <w:sz w:val="24"/>
        </w:rPr>
      </w:pPr>
      <w:r w:rsidRPr="001D3C6B">
        <w:rPr>
          <w:rFonts w:asciiTheme="majorHAnsi" w:hAnsiTheme="majorHAnsi"/>
          <w:b/>
          <w:bCs/>
          <w:sz w:val="24"/>
        </w:rPr>
        <w:t>No se estudiará ninguna propuesta que no recoja l</w:t>
      </w:r>
      <w:r w:rsidR="007F68A6">
        <w:rPr>
          <w:rFonts w:asciiTheme="majorHAnsi" w:hAnsiTheme="majorHAnsi"/>
          <w:b/>
          <w:bCs/>
          <w:sz w:val="24"/>
        </w:rPr>
        <w:t>os requisitos</w:t>
      </w:r>
      <w:r w:rsidRPr="001D3C6B">
        <w:rPr>
          <w:rFonts w:asciiTheme="majorHAnsi" w:hAnsiTheme="majorHAnsi"/>
          <w:b/>
          <w:bCs/>
          <w:sz w:val="24"/>
        </w:rPr>
        <w:t xml:space="preserve"> </w:t>
      </w:r>
      <w:r w:rsidR="007235FD" w:rsidRPr="001D3C6B">
        <w:rPr>
          <w:rFonts w:asciiTheme="majorHAnsi" w:hAnsiTheme="majorHAnsi"/>
          <w:b/>
          <w:bCs/>
          <w:sz w:val="24"/>
        </w:rPr>
        <w:t>anteriormente señalad</w:t>
      </w:r>
      <w:r w:rsidR="007F68A6">
        <w:rPr>
          <w:rFonts w:asciiTheme="majorHAnsi" w:hAnsiTheme="majorHAnsi"/>
          <w:b/>
          <w:bCs/>
          <w:sz w:val="24"/>
        </w:rPr>
        <w:t>o</w:t>
      </w:r>
      <w:r w:rsidR="007235FD" w:rsidRPr="001D3C6B">
        <w:rPr>
          <w:rFonts w:asciiTheme="majorHAnsi" w:hAnsiTheme="majorHAnsi"/>
          <w:b/>
          <w:bCs/>
          <w:sz w:val="24"/>
        </w:rPr>
        <w:t>s.</w:t>
      </w:r>
    </w:p>
    <w:p w14:paraId="4F579F60" w14:textId="77777777" w:rsidR="007235FD" w:rsidRPr="002700C0" w:rsidRDefault="007235FD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</w:p>
    <w:p w14:paraId="4B7AC2B7" w14:textId="1830DA73" w:rsidR="002700C0" w:rsidRPr="007235FD" w:rsidRDefault="007235FD" w:rsidP="0093606F">
      <w:pPr>
        <w:pStyle w:val="Ttulo1"/>
        <w:spacing w:line="360" w:lineRule="auto"/>
        <w:jc w:val="both"/>
      </w:pPr>
      <w:r w:rsidRPr="00F946EE">
        <w:t>3. Lugar y fechas de entrega.</w:t>
      </w:r>
      <w:r>
        <w:t xml:space="preserve"> </w:t>
      </w:r>
    </w:p>
    <w:p w14:paraId="10B5F78B" w14:textId="78CBDA37" w:rsidR="00A053E5" w:rsidRPr="00C57229" w:rsidRDefault="00A053E5" w:rsidP="00C57229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>Una vez confirmada la nominación del estudiantado (es decir, la asignación efectiva del mismo a su plaza de destino), se elaborará un listado y se introducirá al estudiantado en la página FCCJJ-MOV - Movilidad Ciencias Jurídicas, desde donde enviará, mediante la herramienta tarea, su propuesta RAM a la Vicedecana. Los intercambios en relación con esta cuestión se producirán a través de dicha página.</w:t>
      </w:r>
    </w:p>
    <w:p w14:paraId="32981A1E" w14:textId="73E73E63" w:rsidR="00A053E5" w:rsidRPr="00394675" w:rsidRDefault="00A053E5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>Las fechas de entrega de las propuestas RAM se harán públicas una vez que se tengan a disposición las diferentes fechas del proceso de tramitación de solicitudes</w:t>
      </w:r>
      <w:r w:rsidR="00055D9B" w:rsidRPr="00394675">
        <w:rPr>
          <w:rFonts w:asciiTheme="majorHAnsi" w:hAnsiTheme="majorHAnsi"/>
          <w:sz w:val="24"/>
        </w:rPr>
        <w:t xml:space="preserve"> a través de la página de Movilidad de la Facultad de Ciencias Jurídicas, así como a través del correo electrónico</w:t>
      </w:r>
      <w:r w:rsidR="00ED2AB5">
        <w:rPr>
          <w:rFonts w:asciiTheme="majorHAnsi" w:hAnsiTheme="majorHAnsi"/>
          <w:sz w:val="24"/>
        </w:rPr>
        <w:t xml:space="preserve"> y la página web del Centro.</w:t>
      </w:r>
    </w:p>
    <w:p w14:paraId="31B6A470" w14:textId="5A49C40D" w:rsidR="00302D4E" w:rsidRDefault="00302D4E" w:rsidP="0093606F">
      <w:pPr>
        <w:spacing w:line="360" w:lineRule="auto"/>
        <w:jc w:val="both"/>
      </w:pPr>
    </w:p>
    <w:p w14:paraId="5AF31C22" w14:textId="59902FE5" w:rsidR="007F68A6" w:rsidRDefault="007F68A6" w:rsidP="0093606F">
      <w:pPr>
        <w:pStyle w:val="Ttulo1"/>
        <w:spacing w:line="360" w:lineRule="auto"/>
        <w:jc w:val="both"/>
      </w:pPr>
      <w:r>
        <w:t>4. Resoluciones</w:t>
      </w:r>
    </w:p>
    <w:p w14:paraId="2B092CA9" w14:textId="5291B6C3" w:rsidR="00055D9B" w:rsidRPr="00394675" w:rsidRDefault="007F68A6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 xml:space="preserve">Las propuestas RAM </w:t>
      </w:r>
      <w:r w:rsidR="00055D9B" w:rsidRPr="00394675">
        <w:rPr>
          <w:rFonts w:asciiTheme="majorHAnsi" w:hAnsiTheme="majorHAnsi"/>
          <w:sz w:val="24"/>
        </w:rPr>
        <w:t xml:space="preserve">serán valoradas por el Vicedecanato y la Comisión de Programas de Intercambio y Reconocimiento Académico (CPIRA), y se propondrán modificaciones en caso necesario. Se revisará un máximo de tres propuestas diferentes. </w:t>
      </w:r>
    </w:p>
    <w:p w14:paraId="3B1D3014" w14:textId="297D9994" w:rsidR="00055D9B" w:rsidRPr="00394675" w:rsidRDefault="00055D9B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 xml:space="preserve">El plazo de resolución desde que se cierra el plazo de envío de propuestas RAM es de tres semanas. </w:t>
      </w:r>
    </w:p>
    <w:p w14:paraId="15C774B8" w14:textId="57059056" w:rsidR="007F68A6" w:rsidRPr="007F68A6" w:rsidRDefault="00055D9B" w:rsidP="00C57229">
      <w:pPr>
        <w:pStyle w:val="Ttulo1"/>
        <w:spacing w:line="360" w:lineRule="auto"/>
        <w:jc w:val="both"/>
      </w:pPr>
      <w:r w:rsidRPr="00055D9B">
        <w:lastRenderedPageBreak/>
        <w:t>5. Comunicaciones</w:t>
      </w:r>
    </w:p>
    <w:p w14:paraId="397BD6CD" w14:textId="3E8079FF" w:rsidR="00E87F66" w:rsidRPr="00394675" w:rsidRDefault="007F68A6" w:rsidP="0093606F">
      <w:pPr>
        <w:pStyle w:val="Prrafodelista"/>
        <w:tabs>
          <w:tab w:val="left" w:pos="886"/>
        </w:tabs>
        <w:spacing w:before="114" w:line="360" w:lineRule="auto"/>
        <w:ind w:left="485" w:firstLine="0"/>
        <w:rPr>
          <w:rFonts w:asciiTheme="majorHAnsi" w:hAnsiTheme="majorHAnsi"/>
          <w:sz w:val="24"/>
        </w:rPr>
      </w:pPr>
      <w:r w:rsidRPr="00394675">
        <w:rPr>
          <w:rFonts w:asciiTheme="majorHAnsi" w:hAnsiTheme="majorHAnsi"/>
          <w:sz w:val="24"/>
        </w:rPr>
        <w:t>Las comunicaciones y consultas dirigidas por los estudiantes de movilidad</w:t>
      </w:r>
      <w:r w:rsidR="00055D9B" w:rsidRPr="00394675">
        <w:rPr>
          <w:rFonts w:asciiTheme="majorHAnsi" w:hAnsiTheme="majorHAnsi"/>
          <w:sz w:val="24"/>
        </w:rPr>
        <w:t xml:space="preserve"> deben producirse desde el correo institucional del estudiantado, al correo institucional del Vicedecanato, que es:</w:t>
      </w:r>
      <w:r w:rsidR="008A4E72" w:rsidRPr="00394675">
        <w:rPr>
          <w:rFonts w:asciiTheme="majorHAnsi" w:hAnsiTheme="majorHAnsi"/>
          <w:sz w:val="24"/>
        </w:rPr>
        <w:t xml:space="preserve"> </w:t>
      </w:r>
      <w:hyperlink r:id="rId12">
        <w:r w:rsidR="008A4E72" w:rsidRPr="00394675">
          <w:rPr>
            <w:rFonts w:asciiTheme="majorHAnsi" w:hAnsiTheme="majorHAnsi"/>
            <w:sz w:val="24"/>
          </w:rPr>
          <w:t>vrrii_fccjj@ulpgc.es.</w:t>
        </w:r>
      </w:hyperlink>
      <w:r w:rsidR="00C57229">
        <w:rPr>
          <w:rFonts w:asciiTheme="majorHAnsi" w:hAnsiTheme="majorHAnsi"/>
          <w:sz w:val="24"/>
        </w:rPr>
        <w:t xml:space="preserve"> </w:t>
      </w:r>
    </w:p>
    <w:sectPr w:rsidR="00E87F66" w:rsidRPr="00394675" w:rsidSect="007235FD">
      <w:footerReference w:type="even" r:id="rId13"/>
      <w:footerReference w:type="default" r:id="rId14"/>
      <w:pgSz w:w="11900" w:h="16840"/>
      <w:pgMar w:top="860" w:right="0" w:bottom="280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56C3" w14:textId="77777777" w:rsidR="00D66F67" w:rsidRDefault="00D66F67" w:rsidP="00394675">
      <w:r>
        <w:separator/>
      </w:r>
    </w:p>
  </w:endnote>
  <w:endnote w:type="continuationSeparator" w:id="0">
    <w:p w14:paraId="7A1BDBF0" w14:textId="77777777" w:rsidR="00D66F67" w:rsidRDefault="00D66F67" w:rsidP="0039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03224410"/>
      <w:docPartObj>
        <w:docPartGallery w:val="Page Numbers (Bottom of Page)"/>
        <w:docPartUnique/>
      </w:docPartObj>
    </w:sdtPr>
    <w:sdtContent>
      <w:p w14:paraId="6883B9E4" w14:textId="4F2CC041" w:rsidR="00394675" w:rsidRDefault="00394675" w:rsidP="008A30A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C4AB161" w14:textId="77777777" w:rsidR="00394675" w:rsidRDefault="003946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448505540"/>
      <w:docPartObj>
        <w:docPartGallery w:val="Page Numbers (Bottom of Page)"/>
        <w:docPartUnique/>
      </w:docPartObj>
    </w:sdtPr>
    <w:sdtContent>
      <w:p w14:paraId="49843CD7" w14:textId="704CD28A" w:rsidR="00394675" w:rsidRDefault="00394675" w:rsidP="008A30A9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4667430" w14:textId="77777777" w:rsidR="00394675" w:rsidRDefault="003946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A5903" w14:textId="77777777" w:rsidR="00D66F67" w:rsidRDefault="00D66F67" w:rsidP="00394675">
      <w:r>
        <w:separator/>
      </w:r>
    </w:p>
  </w:footnote>
  <w:footnote w:type="continuationSeparator" w:id="0">
    <w:p w14:paraId="5EE67566" w14:textId="77777777" w:rsidR="00D66F67" w:rsidRDefault="00D66F67" w:rsidP="00394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41D"/>
    <w:multiLevelType w:val="hybridMultilevel"/>
    <w:tmpl w:val="CA746C9A"/>
    <w:lvl w:ilvl="0" w:tplc="865A972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65" w:hanging="360"/>
      </w:pPr>
    </w:lvl>
    <w:lvl w:ilvl="2" w:tplc="040A001B" w:tentative="1">
      <w:start w:val="1"/>
      <w:numFmt w:val="lowerRoman"/>
      <w:lvlText w:val="%3."/>
      <w:lvlJc w:val="right"/>
      <w:pPr>
        <w:ind w:left="2285" w:hanging="180"/>
      </w:pPr>
    </w:lvl>
    <w:lvl w:ilvl="3" w:tplc="040A000F" w:tentative="1">
      <w:start w:val="1"/>
      <w:numFmt w:val="decimal"/>
      <w:lvlText w:val="%4."/>
      <w:lvlJc w:val="left"/>
      <w:pPr>
        <w:ind w:left="3005" w:hanging="360"/>
      </w:pPr>
    </w:lvl>
    <w:lvl w:ilvl="4" w:tplc="040A0019" w:tentative="1">
      <w:start w:val="1"/>
      <w:numFmt w:val="lowerLetter"/>
      <w:lvlText w:val="%5."/>
      <w:lvlJc w:val="left"/>
      <w:pPr>
        <w:ind w:left="3725" w:hanging="360"/>
      </w:pPr>
    </w:lvl>
    <w:lvl w:ilvl="5" w:tplc="040A001B" w:tentative="1">
      <w:start w:val="1"/>
      <w:numFmt w:val="lowerRoman"/>
      <w:lvlText w:val="%6."/>
      <w:lvlJc w:val="right"/>
      <w:pPr>
        <w:ind w:left="4445" w:hanging="180"/>
      </w:pPr>
    </w:lvl>
    <w:lvl w:ilvl="6" w:tplc="040A000F" w:tentative="1">
      <w:start w:val="1"/>
      <w:numFmt w:val="decimal"/>
      <w:lvlText w:val="%7."/>
      <w:lvlJc w:val="left"/>
      <w:pPr>
        <w:ind w:left="5165" w:hanging="360"/>
      </w:pPr>
    </w:lvl>
    <w:lvl w:ilvl="7" w:tplc="040A0019" w:tentative="1">
      <w:start w:val="1"/>
      <w:numFmt w:val="lowerLetter"/>
      <w:lvlText w:val="%8."/>
      <w:lvlJc w:val="left"/>
      <w:pPr>
        <w:ind w:left="5885" w:hanging="360"/>
      </w:pPr>
    </w:lvl>
    <w:lvl w:ilvl="8" w:tplc="0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" w15:restartNumberingAfterBreak="0">
    <w:nsid w:val="48A060AB"/>
    <w:multiLevelType w:val="hybridMultilevel"/>
    <w:tmpl w:val="54EEA934"/>
    <w:lvl w:ilvl="0" w:tplc="865A97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0B18"/>
    <w:multiLevelType w:val="hybridMultilevel"/>
    <w:tmpl w:val="99BA139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B22A4"/>
    <w:multiLevelType w:val="hybridMultilevel"/>
    <w:tmpl w:val="022CC5F2"/>
    <w:lvl w:ilvl="0" w:tplc="865A972C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65" w:hanging="360"/>
      </w:pPr>
    </w:lvl>
    <w:lvl w:ilvl="2" w:tplc="040A001B" w:tentative="1">
      <w:start w:val="1"/>
      <w:numFmt w:val="lowerRoman"/>
      <w:lvlText w:val="%3."/>
      <w:lvlJc w:val="right"/>
      <w:pPr>
        <w:ind w:left="2285" w:hanging="180"/>
      </w:pPr>
    </w:lvl>
    <w:lvl w:ilvl="3" w:tplc="040A000F" w:tentative="1">
      <w:start w:val="1"/>
      <w:numFmt w:val="decimal"/>
      <w:lvlText w:val="%4."/>
      <w:lvlJc w:val="left"/>
      <w:pPr>
        <w:ind w:left="3005" w:hanging="360"/>
      </w:pPr>
    </w:lvl>
    <w:lvl w:ilvl="4" w:tplc="040A0019" w:tentative="1">
      <w:start w:val="1"/>
      <w:numFmt w:val="lowerLetter"/>
      <w:lvlText w:val="%5."/>
      <w:lvlJc w:val="left"/>
      <w:pPr>
        <w:ind w:left="3725" w:hanging="360"/>
      </w:pPr>
    </w:lvl>
    <w:lvl w:ilvl="5" w:tplc="040A001B" w:tentative="1">
      <w:start w:val="1"/>
      <w:numFmt w:val="lowerRoman"/>
      <w:lvlText w:val="%6."/>
      <w:lvlJc w:val="right"/>
      <w:pPr>
        <w:ind w:left="4445" w:hanging="180"/>
      </w:pPr>
    </w:lvl>
    <w:lvl w:ilvl="6" w:tplc="040A000F" w:tentative="1">
      <w:start w:val="1"/>
      <w:numFmt w:val="decimal"/>
      <w:lvlText w:val="%7."/>
      <w:lvlJc w:val="left"/>
      <w:pPr>
        <w:ind w:left="5165" w:hanging="360"/>
      </w:pPr>
    </w:lvl>
    <w:lvl w:ilvl="7" w:tplc="040A0019" w:tentative="1">
      <w:start w:val="1"/>
      <w:numFmt w:val="lowerLetter"/>
      <w:lvlText w:val="%8."/>
      <w:lvlJc w:val="left"/>
      <w:pPr>
        <w:ind w:left="5885" w:hanging="360"/>
      </w:pPr>
    </w:lvl>
    <w:lvl w:ilvl="8" w:tplc="040A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 w15:restartNumberingAfterBreak="0">
    <w:nsid w:val="51AD2174"/>
    <w:multiLevelType w:val="hybridMultilevel"/>
    <w:tmpl w:val="0CD6D2A6"/>
    <w:lvl w:ilvl="0" w:tplc="B274A834">
      <w:start w:val="1"/>
      <w:numFmt w:val="lowerLetter"/>
      <w:lvlText w:val="%1)"/>
      <w:lvlJc w:val="left"/>
      <w:pPr>
        <w:ind w:left="440" w:hanging="299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1" w:tplc="7F3C8F84">
      <w:start w:val="1"/>
      <w:numFmt w:val="decimal"/>
      <w:lvlText w:val="%2)"/>
      <w:lvlJc w:val="left"/>
      <w:pPr>
        <w:ind w:left="836" w:hanging="31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2" w:tplc="2C841F6E">
      <w:start w:val="1"/>
      <w:numFmt w:val="lowerLetter"/>
      <w:lvlText w:val="(%3)"/>
      <w:lvlJc w:val="left"/>
      <w:pPr>
        <w:ind w:left="1653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4"/>
        <w:szCs w:val="24"/>
        <w:lang w:val="es-ES" w:eastAsia="en-US" w:bidi="ar-SA"/>
      </w:rPr>
    </w:lvl>
    <w:lvl w:ilvl="3" w:tplc="0FAA2AC0">
      <w:numFmt w:val="bullet"/>
      <w:lvlText w:val="•"/>
      <w:lvlJc w:val="left"/>
      <w:pPr>
        <w:ind w:left="1657" w:hanging="361"/>
      </w:pPr>
      <w:rPr>
        <w:rFonts w:hint="default"/>
        <w:lang w:val="es-ES" w:eastAsia="en-US" w:bidi="ar-SA"/>
      </w:rPr>
    </w:lvl>
    <w:lvl w:ilvl="4" w:tplc="549428CA">
      <w:numFmt w:val="bullet"/>
      <w:lvlText w:val="•"/>
      <w:lvlJc w:val="left"/>
      <w:pPr>
        <w:ind w:left="2997" w:hanging="361"/>
      </w:pPr>
      <w:rPr>
        <w:rFonts w:hint="default"/>
        <w:lang w:val="es-ES" w:eastAsia="en-US" w:bidi="ar-SA"/>
      </w:rPr>
    </w:lvl>
    <w:lvl w:ilvl="5" w:tplc="453A3A5E">
      <w:numFmt w:val="bullet"/>
      <w:lvlText w:val="•"/>
      <w:lvlJc w:val="left"/>
      <w:pPr>
        <w:ind w:left="4337" w:hanging="361"/>
      </w:pPr>
      <w:rPr>
        <w:rFonts w:hint="default"/>
        <w:lang w:val="es-ES" w:eastAsia="en-US" w:bidi="ar-SA"/>
      </w:rPr>
    </w:lvl>
    <w:lvl w:ilvl="6" w:tplc="71487302">
      <w:numFmt w:val="bullet"/>
      <w:lvlText w:val="•"/>
      <w:lvlJc w:val="left"/>
      <w:pPr>
        <w:ind w:left="5677" w:hanging="361"/>
      </w:pPr>
      <w:rPr>
        <w:rFonts w:hint="default"/>
        <w:lang w:val="es-ES" w:eastAsia="en-US" w:bidi="ar-SA"/>
      </w:rPr>
    </w:lvl>
    <w:lvl w:ilvl="7" w:tplc="90BCF7CC">
      <w:numFmt w:val="bullet"/>
      <w:lvlText w:val="•"/>
      <w:lvlJc w:val="left"/>
      <w:pPr>
        <w:ind w:left="7017" w:hanging="361"/>
      </w:pPr>
      <w:rPr>
        <w:rFonts w:hint="default"/>
        <w:lang w:val="es-ES" w:eastAsia="en-US" w:bidi="ar-SA"/>
      </w:rPr>
    </w:lvl>
    <w:lvl w:ilvl="8" w:tplc="0CC66488">
      <w:numFmt w:val="bullet"/>
      <w:lvlText w:val="•"/>
      <w:lvlJc w:val="left"/>
      <w:pPr>
        <w:ind w:left="8357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5E94185C"/>
    <w:multiLevelType w:val="hybridMultilevel"/>
    <w:tmpl w:val="6F045734"/>
    <w:lvl w:ilvl="0" w:tplc="040A000F">
      <w:start w:val="1"/>
      <w:numFmt w:val="decimal"/>
      <w:lvlText w:val="%1."/>
      <w:lvlJc w:val="left"/>
      <w:pPr>
        <w:ind w:left="1205" w:hanging="360"/>
      </w:pPr>
    </w:lvl>
    <w:lvl w:ilvl="1" w:tplc="040A0019" w:tentative="1">
      <w:start w:val="1"/>
      <w:numFmt w:val="lowerLetter"/>
      <w:lvlText w:val="%2."/>
      <w:lvlJc w:val="left"/>
      <w:pPr>
        <w:ind w:left="1925" w:hanging="360"/>
      </w:pPr>
    </w:lvl>
    <w:lvl w:ilvl="2" w:tplc="040A001B" w:tentative="1">
      <w:start w:val="1"/>
      <w:numFmt w:val="lowerRoman"/>
      <w:lvlText w:val="%3."/>
      <w:lvlJc w:val="right"/>
      <w:pPr>
        <w:ind w:left="2645" w:hanging="180"/>
      </w:pPr>
    </w:lvl>
    <w:lvl w:ilvl="3" w:tplc="040A000F" w:tentative="1">
      <w:start w:val="1"/>
      <w:numFmt w:val="decimal"/>
      <w:lvlText w:val="%4."/>
      <w:lvlJc w:val="left"/>
      <w:pPr>
        <w:ind w:left="3365" w:hanging="360"/>
      </w:pPr>
    </w:lvl>
    <w:lvl w:ilvl="4" w:tplc="040A0019" w:tentative="1">
      <w:start w:val="1"/>
      <w:numFmt w:val="lowerLetter"/>
      <w:lvlText w:val="%5."/>
      <w:lvlJc w:val="left"/>
      <w:pPr>
        <w:ind w:left="4085" w:hanging="360"/>
      </w:pPr>
    </w:lvl>
    <w:lvl w:ilvl="5" w:tplc="040A001B" w:tentative="1">
      <w:start w:val="1"/>
      <w:numFmt w:val="lowerRoman"/>
      <w:lvlText w:val="%6."/>
      <w:lvlJc w:val="right"/>
      <w:pPr>
        <w:ind w:left="4805" w:hanging="180"/>
      </w:pPr>
    </w:lvl>
    <w:lvl w:ilvl="6" w:tplc="040A000F" w:tentative="1">
      <w:start w:val="1"/>
      <w:numFmt w:val="decimal"/>
      <w:lvlText w:val="%7."/>
      <w:lvlJc w:val="left"/>
      <w:pPr>
        <w:ind w:left="5525" w:hanging="360"/>
      </w:pPr>
    </w:lvl>
    <w:lvl w:ilvl="7" w:tplc="040A0019" w:tentative="1">
      <w:start w:val="1"/>
      <w:numFmt w:val="lowerLetter"/>
      <w:lvlText w:val="%8."/>
      <w:lvlJc w:val="left"/>
      <w:pPr>
        <w:ind w:left="6245" w:hanging="360"/>
      </w:pPr>
    </w:lvl>
    <w:lvl w:ilvl="8" w:tplc="040A001B" w:tentative="1">
      <w:start w:val="1"/>
      <w:numFmt w:val="lowerRoman"/>
      <w:lvlText w:val="%9."/>
      <w:lvlJc w:val="right"/>
      <w:pPr>
        <w:ind w:left="6965" w:hanging="180"/>
      </w:pPr>
    </w:lvl>
  </w:abstractNum>
  <w:num w:numId="1" w16cid:durableId="339894818">
    <w:abstractNumId w:val="4"/>
  </w:num>
  <w:num w:numId="2" w16cid:durableId="572011833">
    <w:abstractNumId w:val="2"/>
  </w:num>
  <w:num w:numId="3" w16cid:durableId="1952934761">
    <w:abstractNumId w:val="3"/>
  </w:num>
  <w:num w:numId="4" w16cid:durableId="1973436762">
    <w:abstractNumId w:val="1"/>
  </w:num>
  <w:num w:numId="5" w16cid:durableId="1687902084">
    <w:abstractNumId w:val="5"/>
  </w:num>
  <w:num w:numId="6" w16cid:durableId="2044019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66"/>
    <w:rsid w:val="00000242"/>
    <w:rsid w:val="0002501D"/>
    <w:rsid w:val="00037541"/>
    <w:rsid w:val="00055D9B"/>
    <w:rsid w:val="000C6B11"/>
    <w:rsid w:val="001354C6"/>
    <w:rsid w:val="001B7269"/>
    <w:rsid w:val="001D3C6B"/>
    <w:rsid w:val="002700C0"/>
    <w:rsid w:val="00302D4E"/>
    <w:rsid w:val="00335BF5"/>
    <w:rsid w:val="00394675"/>
    <w:rsid w:val="00514919"/>
    <w:rsid w:val="005377AC"/>
    <w:rsid w:val="005A1590"/>
    <w:rsid w:val="0066112A"/>
    <w:rsid w:val="006F4CD0"/>
    <w:rsid w:val="007235FD"/>
    <w:rsid w:val="007F68A6"/>
    <w:rsid w:val="00841BD8"/>
    <w:rsid w:val="008A47D6"/>
    <w:rsid w:val="008A4E72"/>
    <w:rsid w:val="008F452B"/>
    <w:rsid w:val="0093606F"/>
    <w:rsid w:val="00A0100D"/>
    <w:rsid w:val="00A053E5"/>
    <w:rsid w:val="00A42D39"/>
    <w:rsid w:val="00AF03E0"/>
    <w:rsid w:val="00C13D6A"/>
    <w:rsid w:val="00C24A40"/>
    <w:rsid w:val="00C57229"/>
    <w:rsid w:val="00CC3707"/>
    <w:rsid w:val="00D12171"/>
    <w:rsid w:val="00D279B3"/>
    <w:rsid w:val="00D30B52"/>
    <w:rsid w:val="00D66F67"/>
    <w:rsid w:val="00DE0CFD"/>
    <w:rsid w:val="00E31876"/>
    <w:rsid w:val="00E836F0"/>
    <w:rsid w:val="00E87F66"/>
    <w:rsid w:val="00E90B70"/>
    <w:rsid w:val="00ED2AB5"/>
    <w:rsid w:val="00F9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863F"/>
  <w15:docId w15:val="{90D3F4DF-7FF9-3545-856F-1AD3AC80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700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20"/>
      <w:ind w:left="600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600" w:right="1286" w:hanging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9"/>
    <w:rsid w:val="002700C0"/>
    <w:rPr>
      <w:rFonts w:asciiTheme="majorHAnsi" w:eastAsiaTheme="majorEastAsia" w:hAnsiTheme="majorHAnsi" w:cstheme="majorBidi"/>
      <w:b/>
      <w:color w:val="000000" w:themeColor="text1"/>
      <w:sz w:val="28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7F68A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68A6"/>
    <w:rPr>
      <w:color w:val="605E5C"/>
      <w:shd w:val="clear" w:color="auto" w:fill="E1DFDD"/>
    </w:rPr>
  </w:style>
  <w:style w:type="paragraph" w:styleId="Piedepgina">
    <w:name w:val="footer"/>
    <w:basedOn w:val="Normal"/>
    <w:link w:val="PiedepginaCar"/>
    <w:uiPriority w:val="99"/>
    <w:unhideWhenUsed/>
    <w:rsid w:val="0039467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675"/>
    <w:rPr>
      <w:rFonts w:ascii="Arial" w:eastAsia="Arial" w:hAnsi="Arial" w:cs="Arial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9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lpgc.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rrii_fccjj@ulpgc.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lpgc.es/sites/default/files/ArchivosULPGC/Normativa%20y%20reglamentos/Reglamentos/reglamento_de_movilidad_de_estudios_con_reconocimiento_academico_de_la_ulpgc_boulpgc_2_noviembre_2020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rii@ulpgc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cue@ulpgc.e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1311</Words>
  <Characters>7215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NORMAS-de-MOVILIDAD-FCCJJ</vt:lpstr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NORMAS-de-MOVILIDAD-FCCJJ</dc:title>
  <dc:creator>mpdc</dc:creator>
  <cp:lastModifiedBy>María Eugenia Cardenal De La Nuez</cp:lastModifiedBy>
  <cp:revision>2</cp:revision>
  <dcterms:created xsi:type="dcterms:W3CDTF">2023-01-17T10:56:00Z</dcterms:created>
  <dcterms:modified xsi:type="dcterms:W3CDTF">2023-01-17T10:56:00Z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Word</vt:lpwstr>
  </property>
  <property fmtid="{D5CDD505-2E9C-101B-9397-08002B2CF9AE}" pid="4" name="LastSaved">
    <vt:filetime>2021-11-24T00:00:00Z</vt:filetime>
  </property>
</Properties>
</file>